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77777777" w:rsidR="00907BFC" w:rsidRPr="00E229BA" w:rsidRDefault="00907BFC" w:rsidP="002030FF">
      <w:pPr>
        <w:spacing w:line="72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E229BA">
        <w:rPr>
          <w:rFonts w:ascii="微軟正黑體" w:eastAsia="微軟正黑體" w:hAnsi="微軟正黑體" w:hint="eastAsia"/>
          <w:sz w:val="36"/>
          <w:szCs w:val="36"/>
        </w:rPr>
        <w:t>台北市化工原料商業同業公會   函</w:t>
      </w:r>
    </w:p>
    <w:p w14:paraId="52F85872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56307C9A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7777777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6E27ED" w14:textId="77777777" w:rsidR="00E948CA" w:rsidRDefault="00E948CA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77777777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77777777" w:rsidR="008843B7" w:rsidRPr="000F6113" w:rsidRDefault="008843B7" w:rsidP="008843B7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</w:t>
      </w:r>
      <w:r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文</w:t>
      </w:r>
      <w:r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者：全體會員</w:t>
      </w:r>
    </w:p>
    <w:p w14:paraId="64106D43" w14:textId="5DD5F06B" w:rsidR="008843B7" w:rsidRPr="000F6113" w:rsidRDefault="008843B7" w:rsidP="008843B7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發文日期：中華民國112年</w:t>
      </w:r>
      <w:r>
        <w:rPr>
          <w:rFonts w:asciiTheme="minorEastAsia" w:eastAsiaTheme="minorEastAsia" w:hAnsiTheme="minorEastAsia" w:hint="eastAsia"/>
          <w:spacing w:val="10"/>
          <w:szCs w:val="24"/>
        </w:rPr>
        <w:t>5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>
        <w:rPr>
          <w:rFonts w:asciiTheme="minorEastAsia" w:eastAsiaTheme="minorEastAsia" w:hAnsiTheme="minorEastAsia" w:hint="eastAsia"/>
          <w:spacing w:val="10"/>
          <w:szCs w:val="24"/>
        </w:rPr>
        <w:t>8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</w:t>
      </w:r>
      <w:r>
        <w:rPr>
          <w:rFonts w:asciiTheme="minorEastAsia" w:eastAsiaTheme="minorEastAsia" w:hAnsiTheme="minorEastAsia" w:hint="eastAsia"/>
          <w:spacing w:val="20"/>
          <w:szCs w:val="24"/>
        </w:rPr>
        <w:t>伸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字第0</w:t>
      </w:r>
      <w:r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412C14">
        <w:rPr>
          <w:rFonts w:asciiTheme="minorEastAsia" w:eastAsiaTheme="minorEastAsia" w:hAnsiTheme="minorEastAsia" w:hint="eastAsia"/>
          <w:spacing w:val="20"/>
          <w:szCs w:val="24"/>
        </w:rPr>
        <w:t>6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653C8844" w14:textId="77777777" w:rsidR="008843B7" w:rsidRPr="00500580" w:rsidRDefault="008843B7" w:rsidP="008843B7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5E448C3E" w14:textId="39E0C1EE" w:rsidR="008843B7" w:rsidRPr="00FD7CB8" w:rsidRDefault="008843B7" w:rsidP="008843B7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</w:t>
      </w:r>
      <w:r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檢轉 </w:t>
      </w:r>
      <w:r w:rsidR="00412C1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行政院環境保護署</w:t>
      </w:r>
      <w:r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函。</w:t>
      </w:r>
    </w:p>
    <w:p w14:paraId="06C503D0" w14:textId="77777777" w:rsidR="008843B7" w:rsidRDefault="008843B7" w:rsidP="008843B7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F2FFB82" w14:textId="77777777" w:rsidR="008843B7" w:rsidRPr="000F6113" w:rsidRDefault="008843B7" w:rsidP="008843B7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213FC79E" w14:textId="77777777" w:rsidR="00412C14" w:rsidRDefault="008843B7" w:rsidP="00412C14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412C1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本署自公告日起至113年12月31日止，委託環興科技股份有限公司辦</w:t>
      </w:r>
    </w:p>
    <w:p w14:paraId="48FFC26B" w14:textId="1FFE762D" w:rsidR="007C433E" w:rsidRDefault="00412C14" w:rsidP="00412C14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理</w:t>
      </w:r>
      <w:r w:rsidR="007C433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「</w:t>
      </w:r>
      <w:r w:rsidR="00063C0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土</w:t>
      </w:r>
      <w:r w:rsidR="007C433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壤及地下水汙染整治收費辦法」規定之申報審查、核定、現場</w:t>
      </w:r>
    </w:p>
    <w:p w14:paraId="0D55B8C0" w14:textId="17F04B9D" w:rsidR="008843B7" w:rsidRDefault="007C433E" w:rsidP="00412C14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查核及通知等相關業務。</w:t>
      </w:r>
    </w:p>
    <w:p w14:paraId="2C9D5C8B" w14:textId="77777777" w:rsidR="008843B7" w:rsidRPr="00723762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</w:p>
    <w:bookmarkEnd w:id="0"/>
    <w:p w14:paraId="4A1F9AE7" w14:textId="1ACB259A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r w:rsidR="00AB125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本案依行政程序法第16條第2項規定辦理</w:t>
      </w:r>
      <w:r w:rsidR="002830B7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，詳公告影本。</w:t>
      </w:r>
    </w:p>
    <w:p w14:paraId="3986705A" w14:textId="362CDC08" w:rsidR="00AB1259" w:rsidRDefault="002830B7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附件請上本會網站下載檢視：</w:t>
      </w:r>
      <w:r w:rsidRPr="002830B7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http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:</w:t>
      </w:r>
      <w:r w:rsidRPr="002830B7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// </w:t>
      </w:r>
      <w:hyperlink r:id="rId10" w:history="1">
        <w:r w:rsidRPr="00B5292E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www.tpchem.net.tw</w:t>
        </w:r>
      </w:hyperlink>
    </w:p>
    <w:p w14:paraId="0EB090F6" w14:textId="77777777" w:rsidR="002830B7" w:rsidRPr="002830B7" w:rsidRDefault="002830B7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387F9C78" w14:textId="10CB83D2" w:rsidR="007D7E22" w:rsidRDefault="007D7E22" w:rsidP="008843B7">
      <w:pPr>
        <w:spacing w:line="3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54FF67E7" w14:textId="4D66BF45" w:rsidR="00937B13" w:rsidRPr="002830B7" w:rsidRDefault="00937B13" w:rsidP="00937B13">
      <w:pPr>
        <w:spacing w:line="5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488D79F3" w14:textId="77777777" w:rsidR="008843B7" w:rsidRPr="00006199" w:rsidRDefault="008843B7" w:rsidP="00937B13">
      <w:pPr>
        <w:spacing w:line="5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209E0DB3" w14:textId="434C95FE" w:rsidR="00D3615C" w:rsidRDefault="00937B13" w:rsidP="00D3615C">
      <w:pPr>
        <w:spacing w:line="176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22AD9A4E">
                <wp:simplePos x="0" y="0"/>
                <wp:positionH relativeFrom="column">
                  <wp:posOffset>2391410</wp:posOffset>
                </wp:positionH>
                <wp:positionV relativeFrom="paragraph">
                  <wp:posOffset>175260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937B13" w:rsidRDefault="00937B1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37B1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88.3pt;margin-top:13.8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2H/6XOEAAAAKAQAADwAAAGRycy9kb3du&#10;cmV2LnhtbEyPTU/DMAyG70j8h8hIXBBLt7IWStMJIT4kbqwbiFvWmLaicaoma8u/x5zgZFt+9Ppx&#10;vpltJ0YcfOtIwXIRgUCqnGmpVrArHy+vQfigyejOESr4Rg+b4vQk15lxE73iuA214BDymVbQhNBn&#10;UvqqQav9wvVIvPt0g9WBx6GWZtATh9tOrqIokVa3xBca3eN9g9XX9mgVfFzU7y9+ftpP8TruH57H&#10;Mn0zpVLnZ/PdLYiAc/iD4Vef1aFgp4M7kvGiUxCnScKoglXKlYGrmzU3ByajZQKyyOX/F4ofAA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Nh/+lz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937B13" w:rsidRDefault="00937B13">
                      <w:pPr>
                        <w:rPr>
                          <w:sz w:val="26"/>
                          <w:szCs w:val="26"/>
                        </w:rPr>
                      </w:pPr>
                      <w:r w:rsidRPr="00937B13">
                        <w:rPr>
                          <w:rFonts w:hint="eastAsia"/>
                          <w:sz w:val="26"/>
                          <w:szCs w:val="26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53E5362">
            <wp:extent cx="2692400" cy="1060933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4CD0" w14:textId="77777777" w:rsidR="00D65014" w:rsidRDefault="00D65014" w:rsidP="00FF5E7E">
      <w:pPr>
        <w:spacing w:line="240" w:lineRule="auto"/>
      </w:pPr>
      <w:r>
        <w:separator/>
      </w:r>
    </w:p>
  </w:endnote>
  <w:endnote w:type="continuationSeparator" w:id="0">
    <w:p w14:paraId="1A78EDCC" w14:textId="77777777" w:rsidR="00D65014" w:rsidRDefault="00D6501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545E" w14:textId="77777777" w:rsidR="00D65014" w:rsidRDefault="00D65014" w:rsidP="00FF5E7E">
      <w:pPr>
        <w:spacing w:line="240" w:lineRule="auto"/>
      </w:pPr>
      <w:r>
        <w:separator/>
      </w:r>
    </w:p>
  </w:footnote>
  <w:footnote w:type="continuationSeparator" w:id="0">
    <w:p w14:paraId="29F43F39" w14:textId="77777777" w:rsidR="00D65014" w:rsidRDefault="00D6501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8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2"/>
  </w:num>
  <w:num w:numId="2" w16cid:durableId="1524438879">
    <w:abstractNumId w:val="4"/>
  </w:num>
  <w:num w:numId="3" w16cid:durableId="1455714801">
    <w:abstractNumId w:val="7"/>
  </w:num>
  <w:num w:numId="4" w16cid:durableId="115805431">
    <w:abstractNumId w:val="13"/>
  </w:num>
  <w:num w:numId="5" w16cid:durableId="198587220">
    <w:abstractNumId w:val="9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0"/>
  </w:num>
  <w:num w:numId="11" w16cid:durableId="112288533">
    <w:abstractNumId w:val="11"/>
  </w:num>
  <w:num w:numId="12" w16cid:durableId="1820032483">
    <w:abstractNumId w:val="5"/>
  </w:num>
  <w:num w:numId="13" w16cid:durableId="1158420565">
    <w:abstractNumId w:val="8"/>
  </w:num>
  <w:num w:numId="14" w16cid:durableId="44961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704AC"/>
    <w:rsid w:val="00382C39"/>
    <w:rsid w:val="0039243B"/>
    <w:rsid w:val="00392CC7"/>
    <w:rsid w:val="003A04E1"/>
    <w:rsid w:val="003B2C55"/>
    <w:rsid w:val="003B39C3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2797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907BFC"/>
    <w:rsid w:val="009124FF"/>
    <w:rsid w:val="00915A45"/>
    <w:rsid w:val="009369CA"/>
    <w:rsid w:val="00937A64"/>
    <w:rsid w:val="00937B13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A01EBA"/>
    <w:rsid w:val="00A03E0A"/>
    <w:rsid w:val="00A16D12"/>
    <w:rsid w:val="00A17B1E"/>
    <w:rsid w:val="00A5367B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65014"/>
    <w:rsid w:val="00D92B93"/>
    <w:rsid w:val="00D9407D"/>
    <w:rsid w:val="00DA355D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2023-05-08T09:22:00Z</cp:lastPrinted>
  <dcterms:created xsi:type="dcterms:W3CDTF">2023-05-08T09:58:00Z</dcterms:created>
  <dcterms:modified xsi:type="dcterms:W3CDTF">2023-05-08T10:03:00Z</dcterms:modified>
</cp:coreProperties>
</file>