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66E6AE7F" w:rsidR="00F0025E" w:rsidRPr="000F6113" w:rsidRDefault="00F0025E" w:rsidP="009677E6">
      <w:pPr>
        <w:spacing w:line="30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1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19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500580" w:rsidRPr="000F6113">
        <w:rPr>
          <w:rFonts w:asciiTheme="minorEastAsia" w:eastAsiaTheme="minorEastAsia" w:hAnsiTheme="minorEastAsia" w:hint="eastAsia"/>
          <w:spacing w:val="10"/>
          <w:szCs w:val="24"/>
        </w:rPr>
        <w:t>1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620C31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A307EC">
        <w:rPr>
          <w:rFonts w:asciiTheme="minorEastAsia" w:eastAsiaTheme="minorEastAsia" w:hAnsiTheme="minorEastAsia" w:hint="eastAsia"/>
          <w:spacing w:val="2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4AC59604" w:rsidR="00500580" w:rsidRPr="000F6113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Cs w:val="24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檢</w:t>
      </w:r>
      <w:r w:rsidR="007210CE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轉</w:t>
      </w:r>
      <w:r w:rsidR="00FC610C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="00552152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行政院環境保護</w:t>
      </w:r>
      <w:r w:rsidR="002B21EB"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署</w:t>
      </w:r>
      <w:r w:rsidR="008369C0" w:rsidRPr="000F6113">
        <w:rPr>
          <w:rFonts w:asciiTheme="minorEastAsia" w:eastAsiaTheme="minorEastAsia" w:hAnsiTheme="minorEastAsia" w:hint="eastAsia"/>
          <w:spacing w:val="10"/>
          <w:szCs w:val="24"/>
        </w:rPr>
        <w:t>-</w:t>
      </w:r>
      <w:r w:rsidR="0097541B" w:rsidRPr="000F6113">
        <w:rPr>
          <w:rFonts w:asciiTheme="minorEastAsia" w:eastAsiaTheme="minorEastAsia" w:hAnsiTheme="minorEastAsia" w:hint="eastAsia"/>
          <w:b/>
          <w:bCs/>
          <w:spacing w:val="10"/>
          <w:szCs w:val="24"/>
        </w:rPr>
        <w:t>函</w:t>
      </w:r>
      <w:r w:rsidR="00F0025E" w:rsidRPr="000F6113">
        <w:rPr>
          <w:rFonts w:asciiTheme="minorEastAsia" w:eastAsiaTheme="minorEastAsia" w:hAnsiTheme="minorEastAsia" w:hint="eastAsia"/>
          <w:b/>
          <w:bCs/>
          <w:spacing w:val="10"/>
          <w:szCs w:val="24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5A8B3798" w14:textId="77777777" w:rsidR="00620C31" w:rsidRPr="000F6113" w:rsidRDefault="00FE6FEC" w:rsidP="009677E6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  <w:bookmarkStart w:id="0" w:name="_Hlk99367798"/>
      <w:r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主旨：</w:t>
      </w:r>
      <w:r w:rsidR="00975B12"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「</w:t>
      </w:r>
      <w:r w:rsidR="00620C31"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列管關注化學物質及其運作管理事項</w:t>
      </w:r>
      <w:r w:rsidR="00975B12"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」</w:t>
      </w:r>
      <w:r w:rsidR="00620C31"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業經本署於112年1月12日</w:t>
      </w:r>
    </w:p>
    <w:p w14:paraId="0C9F8E91" w14:textId="77777777" w:rsidR="00620C31" w:rsidRPr="000F6113" w:rsidRDefault="00620C31" w:rsidP="009677E6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 以環署化自第1118126656號公告修正，資檢送公告影本、修正總說</w:t>
      </w:r>
    </w:p>
    <w:p w14:paraId="66584BA0" w14:textId="45DB2E71" w:rsidR="00975B12" w:rsidRPr="000F6113" w:rsidRDefault="00620C31" w:rsidP="009677E6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 明及修正公告對照表、修正後公告全文各1份。</w:t>
      </w:r>
    </w:p>
    <w:p w14:paraId="144EDB98" w14:textId="0759F9EB" w:rsidR="004F3B61" w:rsidRDefault="00975B12" w:rsidP="00975B12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 </w:t>
      </w:r>
    </w:p>
    <w:p w14:paraId="0921B1A7" w14:textId="77777777" w:rsidR="000F6113" w:rsidRDefault="00FE6FEC" w:rsidP="00076116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依毒性及關注化學物質管理法第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24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條、第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26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2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項、第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27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2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項、第</w:t>
      </w:r>
    </w:p>
    <w:p w14:paraId="13030EA7" w14:textId="77777777" w:rsidR="000F6113" w:rsidRDefault="000F6113" w:rsidP="00076116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35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項、第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36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項、第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37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項、第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38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項、第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39</w:t>
      </w:r>
      <w:r w:rsidR="00620C31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</w:p>
    <w:p w14:paraId="47602FC5" w14:textId="1795B8C3" w:rsidR="000F6113" w:rsidRPr="000F6113" w:rsidRDefault="00620C31" w:rsidP="000F6113">
      <w:pPr>
        <w:pStyle w:val="ac"/>
        <w:widowControl/>
        <w:numPr>
          <w:ilvl w:val="0"/>
          <w:numId w:val="29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40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項、第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41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1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項及第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44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條第</w:t>
      </w:r>
      <w:r w:rsidR="00076116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4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項</w:t>
      </w:r>
      <w:r w:rsidR="000F6113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修正</w:t>
      </w:r>
      <w:r w:rsidR="000F6113"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「列管關注化學</w:t>
      </w:r>
    </w:p>
    <w:p w14:paraId="1779CA9E" w14:textId="2F887050" w:rsidR="00620C31" w:rsidRDefault="000F6113" w:rsidP="00076116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物質及其運作管理事項」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公告事項，本次修正重點：</w:t>
      </w:r>
    </w:p>
    <w:p w14:paraId="067FBCF2" w14:textId="7BD52231" w:rsidR="00620C31" w:rsidRPr="000F6113" w:rsidRDefault="00620C31" w:rsidP="00076116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公告關注化學物質</w:t>
      </w:r>
      <w:r w:rsid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及其</w:t>
      </w: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化學物質重量百分比含量達管制濃度以上之物質，並依管理需求分類規定其管制運作行為、分級運作量、定期申報頻率、不受本法管制之目的用途或物品、包裝容器規定及記錄之運作方法，並指定公告具有危害性之關注化學物質。</w:t>
      </w:r>
    </w:p>
    <w:p w14:paraId="350C7FEC" w14:textId="4EE3E6EF" w:rsidR="00620C31" w:rsidRPr="000F6113" w:rsidRDefault="00620C31" w:rsidP="00076116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運作關注化學物質應於運作前取得關注化學物質核可文件。運作人於中央主管機關公告為關注化學物質前已運作者，應依附表四之規定，於規定期限內完成相關事項。</w:t>
      </w:r>
    </w:p>
    <w:p w14:paraId="481E3D09" w14:textId="2E7D39A0" w:rsidR="00620C31" w:rsidRPr="000F6113" w:rsidRDefault="00620C31" w:rsidP="00076116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不受本法之管制：農藥管理法、肥料管理法、飼料管理法、動物用藥品管理法、藥事法、醫療器材管理法、管制藥品管理條例、化粧品衛生安全管理法、食品安全衛生管理法、菸害防制法、事業用爆炸物管理條例、石油管理法、天然氣事業法、原子能法、游離輻射防護法、空氣污染防制法、環境用藥管理法、廢棄物清理法及商品檢驗法。關注化學物質運作人，應妥善管理關注化學物質，不得短少。</w:t>
      </w:r>
    </w:p>
    <w:p w14:paraId="7F2B2002" w14:textId="5DC6B011" w:rsidR="00620C31" w:rsidRPr="000F6113" w:rsidRDefault="00620C31" w:rsidP="00076116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關注化學物質標準檢驗方法，有國家標準者，依國家標準；未訂國家標準者，可採用下列來源之檢測方法：</w:t>
      </w:r>
    </w:p>
    <w:p w14:paraId="3DDF54CC" w14:textId="77777777" w:rsidR="009677E6" w:rsidRDefault="00620C31" w:rsidP="009677E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環境檢測標準方法(NIEA)。</w:t>
      </w:r>
    </w:p>
    <w:p w14:paraId="746DBECC" w14:textId="3BC4EB27" w:rsidR="00620C31" w:rsidRDefault="00620C31" w:rsidP="009677E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美國環保署公告方法(USEPA)。</w:t>
      </w:r>
    </w:p>
    <w:p w14:paraId="4FF5669E" w14:textId="1473AD3A" w:rsidR="009677E6" w:rsidRDefault="00620C31" w:rsidP="0007611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美國公共衛生協會之水質及廢水標準方法(APHA)</w:t>
      </w:r>
    </w:p>
    <w:p w14:paraId="23A71FC6" w14:textId="40DEC36A" w:rsidR="00620C31" w:rsidRDefault="00620C31" w:rsidP="0007611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日本工業規格協會之日本工業標準(JIS)。</w:t>
      </w:r>
    </w:p>
    <w:p w14:paraId="5D7AB36A" w14:textId="16630785" w:rsidR="00620C31" w:rsidRDefault="00620C31" w:rsidP="0007611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美國材料試驗協會之方法(ASTM)。</w:t>
      </w:r>
    </w:p>
    <w:p w14:paraId="4741C419" w14:textId="1B1E1EE8" w:rsidR="00620C31" w:rsidRDefault="00620C31" w:rsidP="0007611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國際公定分析化學家協會之標準方法(AOAC)。</w:t>
      </w:r>
    </w:p>
    <w:p w14:paraId="410CBDB6" w14:textId="6FE84682" w:rsidR="00620C31" w:rsidRDefault="00620C31" w:rsidP="0007611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國際標準組織之標準測定方法(ISO)。</w:t>
      </w:r>
    </w:p>
    <w:p w14:paraId="73948E70" w14:textId="77777777" w:rsidR="009677E6" w:rsidRDefault="00620C31" w:rsidP="00076116">
      <w:pPr>
        <w:pStyle w:val="ac"/>
        <w:widowControl/>
        <w:numPr>
          <w:ilvl w:val="1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歐盟認可之檢測方法。</w:t>
      </w:r>
    </w:p>
    <w:p w14:paraId="6F01EE13" w14:textId="4CE9890A" w:rsidR="00D80856" w:rsidRPr="009677E6" w:rsidRDefault="00FF3624" w:rsidP="009677E6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9677E6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附件</w:t>
      </w:r>
      <w:r w:rsidR="00027A8D"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請至本會</w:t>
      </w:r>
      <w:r w:rsidR="00FF51F8"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網站下載檢示。</w:t>
      </w:r>
      <w:bookmarkEnd w:id="0"/>
      <w:r w:rsidR="004F3B61" w:rsidRPr="009677E6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71F56B46" w14:textId="32C66740" w:rsidR="00B16E5E" w:rsidRDefault="0027363A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ascii="微軟正黑體" w:eastAsia="微軟正黑體" w:hAnsi="微軟正黑體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B97AE" wp14:editId="65F062DE">
                <wp:simplePos x="0" y="0"/>
                <wp:positionH relativeFrom="column">
                  <wp:posOffset>417195</wp:posOffset>
                </wp:positionH>
                <wp:positionV relativeFrom="paragraph">
                  <wp:posOffset>7930</wp:posOffset>
                </wp:positionV>
                <wp:extent cx="2329384" cy="44051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384" cy="440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8541D" w14:textId="672E4EEB" w:rsidR="0027363A" w:rsidRDefault="0027363A">
                            <w:r w:rsidRPr="0027363A">
                              <w:rPr>
                                <w:rFonts w:hint="eastAsia"/>
                              </w:rPr>
                              <w:t>網址：</w:t>
                            </w:r>
                            <w:hyperlink r:id="rId10" w:history="1">
                              <w:r w:rsidRPr="0060619D">
                                <w:rPr>
                                  <w:rStyle w:val="a3"/>
                                  <w:rFonts w:hint="eastAsia"/>
                                </w:rPr>
                                <w:t>http://www.tpchem.net.tw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97AE" id="_x0000_s1027" type="#_x0000_t202" style="position:absolute;margin-left:32.85pt;margin-top:.6pt;width:183.4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" fillcolor="white [3201]" stroked="f" strokeweight=".5pt">
                <v:textbox>
                  <w:txbxContent>
                    <w:p w14:paraId="4EF8541D" w14:textId="672E4EEB" w:rsidR="0027363A" w:rsidRDefault="0027363A">
                      <w:r w:rsidRPr="0027363A">
                        <w:rPr>
                          <w:rFonts w:hint="eastAsia"/>
                        </w:rPr>
                        <w:t>網址：</w:t>
                      </w:r>
                      <w:hyperlink r:id="rId11" w:history="1">
                        <w:r w:rsidRPr="0060619D">
                          <w:rPr>
                            <w:rStyle w:val="a3"/>
                            <w:rFonts w:hint="eastAsia"/>
                          </w:rPr>
                          <w:t>http://www.tpchem.net.tw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6410"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1DC8" w14:textId="77777777" w:rsidR="00395E55" w:rsidRDefault="00395E55" w:rsidP="00FF5E7E">
      <w:pPr>
        <w:spacing w:line="240" w:lineRule="auto"/>
      </w:pPr>
      <w:r>
        <w:separator/>
      </w:r>
    </w:p>
  </w:endnote>
  <w:endnote w:type="continuationSeparator" w:id="0">
    <w:p w14:paraId="0A193EBE" w14:textId="77777777" w:rsidR="00395E55" w:rsidRDefault="00395E55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C73B" w14:textId="77777777" w:rsidR="00395E55" w:rsidRDefault="00395E55" w:rsidP="00FF5E7E">
      <w:pPr>
        <w:spacing w:line="240" w:lineRule="auto"/>
      </w:pPr>
      <w:r>
        <w:separator/>
      </w:r>
    </w:p>
  </w:footnote>
  <w:footnote w:type="continuationSeparator" w:id="0">
    <w:p w14:paraId="45E896A6" w14:textId="77777777" w:rsidR="00395E55" w:rsidRDefault="00395E55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0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2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4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5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0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1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5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7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3"/>
  </w:num>
  <w:num w:numId="2" w16cid:durableId="1423919533">
    <w:abstractNumId w:val="13"/>
  </w:num>
  <w:num w:numId="3" w16cid:durableId="1055203190">
    <w:abstractNumId w:val="16"/>
  </w:num>
  <w:num w:numId="4" w16cid:durableId="1117873332">
    <w:abstractNumId w:val="25"/>
  </w:num>
  <w:num w:numId="5" w16cid:durableId="1048144779">
    <w:abstractNumId w:val="17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8"/>
  </w:num>
  <w:num w:numId="9" w16cid:durableId="457140820">
    <w:abstractNumId w:val="4"/>
  </w:num>
  <w:num w:numId="10" w16cid:durableId="1378620964">
    <w:abstractNumId w:val="19"/>
  </w:num>
  <w:num w:numId="11" w16cid:durableId="2095128551">
    <w:abstractNumId w:val="21"/>
  </w:num>
  <w:num w:numId="12" w16cid:durableId="1256748628">
    <w:abstractNumId w:val="26"/>
  </w:num>
  <w:num w:numId="13" w16cid:durableId="1112047353">
    <w:abstractNumId w:val="9"/>
  </w:num>
  <w:num w:numId="14" w16cid:durableId="287246193">
    <w:abstractNumId w:val="10"/>
  </w:num>
  <w:num w:numId="15" w16cid:durableId="2002848057">
    <w:abstractNumId w:val="0"/>
  </w:num>
  <w:num w:numId="16" w16cid:durableId="326330220">
    <w:abstractNumId w:val="15"/>
  </w:num>
  <w:num w:numId="17" w16cid:durableId="8025470">
    <w:abstractNumId w:val="12"/>
  </w:num>
  <w:num w:numId="18" w16cid:durableId="1988779936">
    <w:abstractNumId w:val="28"/>
  </w:num>
  <w:num w:numId="19" w16cid:durableId="952370373">
    <w:abstractNumId w:val="20"/>
  </w:num>
  <w:num w:numId="20" w16cid:durableId="1050808147">
    <w:abstractNumId w:val="11"/>
  </w:num>
  <w:num w:numId="21" w16cid:durableId="1685084502">
    <w:abstractNumId w:val="18"/>
  </w:num>
  <w:num w:numId="22" w16cid:durableId="1903637470">
    <w:abstractNumId w:val="6"/>
  </w:num>
  <w:num w:numId="23" w16cid:durableId="523402955">
    <w:abstractNumId w:val="27"/>
  </w:num>
  <w:num w:numId="24" w16cid:durableId="1735855966">
    <w:abstractNumId w:val="22"/>
  </w:num>
  <w:num w:numId="25" w16cid:durableId="1451707276">
    <w:abstractNumId w:val="2"/>
  </w:num>
  <w:num w:numId="26" w16cid:durableId="296572070">
    <w:abstractNumId w:val="24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A2CFE"/>
    <w:rsid w:val="00FA360B"/>
    <w:rsid w:val="00FA4041"/>
    <w:rsid w:val="00FB38BD"/>
    <w:rsid w:val="00FB5C1E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chem.net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2022-05-11T01:49:00Z</cp:lastPrinted>
  <dcterms:created xsi:type="dcterms:W3CDTF">2023-01-19T01:54:00Z</dcterms:created>
  <dcterms:modified xsi:type="dcterms:W3CDTF">2023-01-19T02:36:00Z</dcterms:modified>
</cp:coreProperties>
</file>