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0F6113" w:rsidRDefault="00F0025E" w:rsidP="008175CB">
      <w:pPr>
        <w:spacing w:line="34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受文者：全體會員</w:t>
      </w:r>
    </w:p>
    <w:p w14:paraId="5C293107" w14:textId="6B8D349C" w:rsidR="00F0025E" w:rsidRPr="000F6113" w:rsidRDefault="00F0025E" w:rsidP="008175CB">
      <w:pPr>
        <w:spacing w:line="34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1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19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3F43F5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620C31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CE3897">
        <w:rPr>
          <w:rFonts w:asciiTheme="minorEastAsia" w:eastAsiaTheme="minorEastAsia" w:hAnsiTheme="minorEastAsia" w:hint="eastAsia"/>
          <w:spacing w:val="20"/>
          <w:szCs w:val="24"/>
        </w:rPr>
        <w:t>4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8175CB">
      <w:pPr>
        <w:spacing w:line="34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5A05C7DD" w:rsidR="00500580" w:rsidRPr="000F6113" w:rsidRDefault="00874AE5" w:rsidP="008175CB">
      <w:pPr>
        <w:spacing w:line="340" w:lineRule="exact"/>
        <w:rPr>
          <w:rFonts w:asciiTheme="minorEastAsia" w:eastAsiaTheme="minorEastAsia" w:hAnsiTheme="minorEastAsia"/>
          <w:b/>
          <w:spacing w:val="10"/>
          <w:szCs w:val="24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F0025E"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檢</w:t>
      </w:r>
      <w:r w:rsidR="007210CE"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轉</w:t>
      </w:r>
      <w:r w:rsidR="00FC610C"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 xml:space="preserve"> </w:t>
      </w:r>
      <w:r w:rsidR="00CE3897">
        <w:rPr>
          <w:rFonts w:asciiTheme="minorEastAsia" w:eastAsiaTheme="minorEastAsia" w:hAnsiTheme="minorEastAsia" w:hint="eastAsia"/>
          <w:b/>
          <w:spacing w:val="10"/>
          <w:szCs w:val="24"/>
        </w:rPr>
        <w:t>臺北市政府產業發展局</w:t>
      </w:r>
      <w:r w:rsidR="008369C0" w:rsidRPr="000F6113">
        <w:rPr>
          <w:rFonts w:asciiTheme="minorEastAsia" w:eastAsiaTheme="minorEastAsia" w:hAnsiTheme="minorEastAsia" w:hint="eastAsia"/>
          <w:spacing w:val="10"/>
          <w:szCs w:val="24"/>
        </w:rPr>
        <w:t>-</w:t>
      </w:r>
      <w:r w:rsidR="0097541B" w:rsidRPr="000F6113">
        <w:rPr>
          <w:rFonts w:asciiTheme="minorEastAsia" w:eastAsiaTheme="minorEastAsia" w:hAnsiTheme="minorEastAsia" w:hint="eastAsia"/>
          <w:b/>
          <w:bCs/>
          <w:spacing w:val="10"/>
          <w:szCs w:val="24"/>
        </w:rPr>
        <w:t>函</w:t>
      </w:r>
      <w:r w:rsidR="00F0025E" w:rsidRPr="000F6113">
        <w:rPr>
          <w:rFonts w:asciiTheme="minorEastAsia" w:eastAsiaTheme="minorEastAsia" w:hAnsiTheme="minorEastAsia" w:hint="eastAsia"/>
          <w:b/>
          <w:bCs/>
          <w:spacing w:val="10"/>
          <w:szCs w:val="24"/>
        </w:rPr>
        <w:t>。</w:t>
      </w:r>
    </w:p>
    <w:p w14:paraId="644F42CF" w14:textId="77777777" w:rsidR="00F507B5" w:rsidRPr="000F6113" w:rsidRDefault="00F507B5" w:rsidP="008175CB">
      <w:pPr>
        <w:spacing w:line="34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6CA55A3B" w14:textId="77777777" w:rsidR="00CE3897" w:rsidRDefault="00FE6FEC" w:rsidP="008175CB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Cs w:val="24"/>
        </w:rPr>
      </w:pPr>
      <w:bookmarkStart w:id="0" w:name="_Hlk99367798"/>
      <w:r w:rsidRPr="000F6113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主旨：</w:t>
      </w:r>
      <w:r w:rsidR="00CE3897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本局辦理112年度</w:t>
      </w:r>
      <w:r w:rsidR="00975B12" w:rsidRPr="000F6113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「</w:t>
      </w:r>
      <w:r w:rsidR="00CE3897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臺北市補助工商團體及廠商海外推展貿易計畫</w:t>
      </w:r>
      <w:r w:rsidR="00975B12" w:rsidRPr="000F6113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」</w:t>
      </w:r>
      <w:r w:rsidR="00CE3897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受理申</w:t>
      </w:r>
    </w:p>
    <w:p w14:paraId="66584BA0" w14:textId="53E243D1" w:rsidR="00975B12" w:rsidRPr="000F6113" w:rsidRDefault="00CE3897" w:rsidP="008175CB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 xml:space="preserve">      請作業</w:t>
      </w:r>
      <w:r w:rsidR="00620C31" w:rsidRPr="000F6113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。</w:t>
      </w:r>
    </w:p>
    <w:p w14:paraId="522DC9A9" w14:textId="72A4B49B" w:rsidR="00CE3897" w:rsidRDefault="00FE6FEC" w:rsidP="008175CB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1" w:name="_Hlk104191789"/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  <w:bookmarkEnd w:id="1"/>
    </w:p>
    <w:p w14:paraId="1779CA9E" w14:textId="1A0BEE2D" w:rsidR="00620C31" w:rsidRPr="00CE3897" w:rsidRDefault="00620C31" w:rsidP="008175CB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34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CE389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依</w:t>
      </w:r>
      <w:r w:rsidR="00CE3897" w:rsidRPr="00CE389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據臺北市補助工商團體</w:t>
      </w:r>
      <w:r w:rsidR="00CE3897" w:rsidRPr="00CE389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及廠商海外推展貿易計畫</w:t>
      </w:r>
      <w:r w:rsidR="00CE3897" w:rsidRPr="00CE389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申請須知規定辦理。</w:t>
      </w:r>
    </w:p>
    <w:p w14:paraId="19EFA7FA" w14:textId="36334A96" w:rsidR="00CE3897" w:rsidRDefault="00CE3897" w:rsidP="008175CB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34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為鼓勵本是廠商拓展海外貿易，本局辦理本年度</w:t>
      </w:r>
      <w:r w:rsidRPr="00CE389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「臺北市補助工商團體及廠商海外推展貿易計畫」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，補助本市工商團體及廠商透過参與國際展覽或相關貿易活動，協助廠商爭取海外訂單，說明簡述如次：</w:t>
      </w:r>
    </w:p>
    <w:p w14:paraId="68C12878" w14:textId="71F30308" w:rsidR="00CE3897" w:rsidRPr="008175CB" w:rsidRDefault="008175CB" w:rsidP="008175CB">
      <w:pPr>
        <w:pStyle w:val="ac"/>
        <w:widowControl/>
        <w:numPr>
          <w:ilvl w:val="0"/>
          <w:numId w:val="33"/>
        </w:numPr>
        <w:shd w:val="clear" w:color="auto" w:fill="FFFFFF"/>
        <w:adjustRightInd/>
        <w:spacing w:line="34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8175C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  <w:r w:rsidR="00CE3897" w:rsidRPr="008175C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受理申請期間：112年2月1日至3月3日。</w:t>
      </w:r>
    </w:p>
    <w:p w14:paraId="134AC4B2" w14:textId="118A966C" w:rsidR="00CE3897" w:rsidRPr="008175CB" w:rsidRDefault="008175CB" w:rsidP="008175CB">
      <w:pPr>
        <w:pStyle w:val="ac"/>
        <w:widowControl/>
        <w:numPr>
          <w:ilvl w:val="0"/>
          <w:numId w:val="33"/>
        </w:numPr>
        <w:shd w:val="clear" w:color="auto" w:fill="FFFFFF"/>
        <w:adjustRightInd/>
        <w:spacing w:line="34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8175C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補助計畫執行期間：112年1月1日至112年11月30日。</w:t>
      </w:r>
    </w:p>
    <w:p w14:paraId="009ADE15" w14:textId="1BBC701E" w:rsidR="008175CB" w:rsidRPr="008175CB" w:rsidRDefault="008175CB" w:rsidP="008175CB">
      <w:pPr>
        <w:pStyle w:val="ac"/>
        <w:widowControl/>
        <w:numPr>
          <w:ilvl w:val="0"/>
          <w:numId w:val="33"/>
        </w:numPr>
        <w:shd w:val="clear" w:color="auto" w:fill="FFFFFF"/>
        <w:adjustRightInd/>
        <w:spacing w:line="34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8175C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申請資格：</w:t>
      </w:r>
    </w:p>
    <w:p w14:paraId="284950DF" w14:textId="77777777" w:rsidR="008175CB" w:rsidRDefault="008175CB" w:rsidP="00D8536E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  ￭ 工商團體：指依工業團體法、商業團體法及其他相關法令於本市立</w:t>
      </w:r>
    </w:p>
    <w:p w14:paraId="08E05A65" w14:textId="77777777" w:rsidR="001C6257" w:rsidRDefault="008175CB" w:rsidP="00D8536E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    </w:t>
      </w:r>
      <w:r w:rsidR="001C625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 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案且稅籍所在地址登記於本市之工商團體，但不包括政</w:t>
      </w:r>
    </w:p>
    <w:p w14:paraId="5E678597" w14:textId="77777777" w:rsidR="001C6257" w:rsidRDefault="001C6257" w:rsidP="00D8536E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             </w:t>
      </w:r>
      <w:r w:rsidR="008175C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府機關、學校、政黨、行政法人等機構及其所屬單位或</w:t>
      </w:r>
    </w:p>
    <w:p w14:paraId="7402CD8A" w14:textId="3BA8219B" w:rsidR="008175CB" w:rsidRDefault="001C6257" w:rsidP="008175CB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             </w:t>
      </w:r>
      <w:r w:rsidR="008175C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以其為主要股東或捐助人之組織。</w:t>
      </w:r>
    </w:p>
    <w:p w14:paraId="7965F420" w14:textId="77777777" w:rsidR="00DA1B36" w:rsidRDefault="008175CB" w:rsidP="008175CB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  ￭ 廠</w:t>
      </w:r>
      <w:r w:rsidR="001C625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商</w:t>
      </w:r>
      <w:r w:rsidR="00DA1B36">
        <w:rPr>
          <w:rFonts w:asciiTheme="minorEastAsia" w:eastAsiaTheme="minorEastAsia" w:hAnsiTheme="minorEastAsia" w:cs="Arial" w:hint="eastAsia"/>
          <w:color w:val="333333"/>
          <w:spacing w:val="14"/>
          <w:sz w:val="12"/>
          <w:szCs w:val="12"/>
        </w:rPr>
        <w:t xml:space="preserve"> 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：指依公司法、商業登記法或有限合夥法於</w:t>
      </w:r>
      <w:r w:rsidR="001C625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本市完成登記</w:t>
      </w:r>
    </w:p>
    <w:p w14:paraId="2D6A2836" w14:textId="3A7DBAAC" w:rsidR="008175CB" w:rsidRDefault="00DA1B36" w:rsidP="008175CB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             </w:t>
      </w:r>
      <w:r w:rsidR="001C625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之營利事業，不包括登記於本市之分公司或外國公司。</w:t>
      </w:r>
    </w:p>
    <w:p w14:paraId="7A6DE664" w14:textId="1CA3F15C" w:rsidR="008175CB" w:rsidRPr="001C6257" w:rsidRDefault="001C6257" w:rsidP="001C6257">
      <w:pPr>
        <w:pStyle w:val="ac"/>
        <w:widowControl/>
        <w:numPr>
          <w:ilvl w:val="0"/>
          <w:numId w:val="33"/>
        </w:numPr>
        <w:shd w:val="clear" w:color="auto" w:fill="FFFFFF"/>
        <w:adjustRightInd/>
        <w:spacing w:line="34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1C625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補助類別：國際實體展覽。</w:t>
      </w:r>
    </w:p>
    <w:p w14:paraId="0A1F92C3" w14:textId="6322E542" w:rsidR="001C6257" w:rsidRPr="001C6257" w:rsidRDefault="001C6257" w:rsidP="001C6257">
      <w:pPr>
        <w:pStyle w:val="ac"/>
        <w:widowControl/>
        <w:numPr>
          <w:ilvl w:val="0"/>
          <w:numId w:val="33"/>
        </w:numPr>
        <w:shd w:val="clear" w:color="auto" w:fill="FFFFFF"/>
        <w:adjustRightInd/>
        <w:spacing w:line="34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1C625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補助額度：</w:t>
      </w:r>
    </w:p>
    <w:p w14:paraId="68BB5458" w14:textId="77777777" w:rsidR="001C6257" w:rsidRDefault="001C6257" w:rsidP="008175CB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  ￭ 工商團體組團申請：以每一本市參展廠商最高補助新台幣八萬元計</w:t>
      </w:r>
    </w:p>
    <w:p w14:paraId="25892B2B" w14:textId="0BAB4737" w:rsidR="001C6257" w:rsidRDefault="001C6257" w:rsidP="008175CB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                    算，每案最高補助新台幣八十萬元。</w:t>
      </w:r>
    </w:p>
    <w:p w14:paraId="44D7CD2A" w14:textId="18889131" w:rsidR="001C6257" w:rsidRDefault="001C6257" w:rsidP="008175CB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  ￭ 個別廠商申請：</w:t>
      </w:r>
      <w:r w:rsidRPr="001C625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每案最高補助新台幣八萬元。</w:t>
      </w:r>
    </w:p>
    <w:p w14:paraId="088F9547" w14:textId="77777777" w:rsidR="00DA1B36" w:rsidRDefault="00DA1B36" w:rsidP="00DA1B36">
      <w:pPr>
        <w:pStyle w:val="ac"/>
        <w:widowControl/>
        <w:numPr>
          <w:ilvl w:val="0"/>
          <w:numId w:val="33"/>
        </w:numPr>
        <w:shd w:val="clear" w:color="auto" w:fill="FFFFFF"/>
        <w:adjustRightInd/>
        <w:spacing w:line="34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DA1B3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相關訊息：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申請須知、補助條件、項目及額度、補助審查標準及扣減 </w:t>
      </w:r>
    </w:p>
    <w:p w14:paraId="7A5D7F7A" w14:textId="77777777" w:rsidR="00E95432" w:rsidRDefault="00DA1B36" w:rsidP="00DA1B36">
      <w:pPr>
        <w:pStyle w:val="ac"/>
        <w:widowControl/>
        <w:shd w:val="clear" w:color="auto" w:fill="FFFFFF"/>
        <w:adjustRightInd/>
        <w:spacing w:line="340" w:lineRule="exact"/>
        <w:ind w:leftChars="0" w:left="140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補助款計算公式及相關申請書表格、申請連結</w:t>
      </w:r>
      <w:r w:rsidR="00E95432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請至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：</w:t>
      </w:r>
    </w:p>
    <w:p w14:paraId="4A36C730" w14:textId="626FB6F8" w:rsidR="00DA1B36" w:rsidRPr="00E95432" w:rsidRDefault="00E95432" w:rsidP="00E95432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 </w:t>
      </w:r>
      <w:r w:rsidRPr="00E95432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</w:t>
      </w:r>
      <w:hyperlink r:id="rId10" w:history="1">
        <w:r w:rsidRPr="009E57E1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https://www.doed.gov.taipei/Content_List.aspx?n=37DC070BEE4F92C2</w:t>
        </w:r>
      </w:hyperlink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</w:p>
    <w:p w14:paraId="1B284AC2" w14:textId="54A476F8" w:rsidR="00DA1B36" w:rsidRDefault="00922838" w:rsidP="00DA1B36">
      <w:pPr>
        <w:pStyle w:val="ac"/>
        <w:widowControl/>
        <w:numPr>
          <w:ilvl w:val="0"/>
          <w:numId w:val="33"/>
        </w:numPr>
        <w:shd w:val="clear" w:color="auto" w:fill="FFFFFF"/>
        <w:adjustRightInd/>
        <w:spacing w:line="34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  <w:r w:rsidR="00E95432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指揭計畫限以網路方式提出申請，申請網址：</w:t>
      </w:r>
      <w:hyperlink r:id="rId11" w:history="1">
        <w:r w:rsidRPr="009E57E1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https://intl.expo.taipei/</w:t>
        </w:r>
      </w:hyperlink>
      <w:r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 </w:t>
      </w:r>
    </w:p>
    <w:p w14:paraId="5C8E8C34" w14:textId="60004F54" w:rsidR="00922838" w:rsidRPr="00922838" w:rsidRDefault="00922838" w:rsidP="00922838">
      <w:pPr>
        <w:pStyle w:val="ac"/>
        <w:widowControl/>
        <w:numPr>
          <w:ilvl w:val="0"/>
          <w:numId w:val="33"/>
        </w:numPr>
        <w:shd w:val="clear" w:color="auto" w:fill="FFFFFF"/>
        <w:adjustRightInd/>
        <w:spacing w:line="34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92283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服務窗口：社團法人中華民國全國中小企業總會許先生、施小姐，電</w:t>
      </w:r>
    </w:p>
    <w:p w14:paraId="6C5A3700" w14:textId="7B907650" w:rsidR="00DA1B36" w:rsidRPr="00DA1B36" w:rsidRDefault="00922838" w:rsidP="00922838">
      <w:pPr>
        <w:widowControl/>
        <w:shd w:val="clear" w:color="auto" w:fill="FFFFFF"/>
        <w:adjustRightInd/>
        <w:spacing w:line="340" w:lineRule="exact"/>
        <w:ind w:left="104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12"/>
          <w:szCs w:val="12"/>
        </w:rPr>
        <w:t xml:space="preserve"> 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話：02-23660812分機187，或本局工商服務科陳小姐、洪先生，電話</w:t>
      </w:r>
    </w:p>
    <w:p w14:paraId="6F01EE13" w14:textId="3083147D" w:rsidR="00D80856" w:rsidRDefault="00CE3897" w:rsidP="00E95432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</w:t>
      </w:r>
      <w:bookmarkEnd w:id="0"/>
      <w:r w:rsidR="0092283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 </w:t>
      </w:r>
      <w:r w:rsidR="00003E7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1999外縣市02-2720889轉6574。</w:t>
      </w:r>
    </w:p>
    <w:p w14:paraId="71F56B46" w14:textId="54F66FC1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F6B4" w14:textId="77777777" w:rsidR="001C1935" w:rsidRDefault="001C1935" w:rsidP="00FF5E7E">
      <w:pPr>
        <w:spacing w:line="240" w:lineRule="auto"/>
      </w:pPr>
      <w:r>
        <w:separator/>
      </w:r>
    </w:p>
  </w:endnote>
  <w:endnote w:type="continuationSeparator" w:id="0">
    <w:p w14:paraId="3B7FDED4" w14:textId="77777777" w:rsidR="001C1935" w:rsidRDefault="001C1935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D4EA" w14:textId="77777777" w:rsidR="001C1935" w:rsidRDefault="001C1935" w:rsidP="00FF5E7E">
      <w:pPr>
        <w:spacing w:line="240" w:lineRule="auto"/>
      </w:pPr>
      <w:r>
        <w:separator/>
      </w:r>
    </w:p>
  </w:footnote>
  <w:footnote w:type="continuationSeparator" w:id="0">
    <w:p w14:paraId="2C740577" w14:textId="77777777" w:rsidR="001C1935" w:rsidRDefault="001C1935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7F3379F"/>
    <w:multiLevelType w:val="hybridMultilevel"/>
    <w:tmpl w:val="E8DCF5F4"/>
    <w:lvl w:ilvl="0" w:tplc="315843F8">
      <w:start w:val="1"/>
      <w:numFmt w:val="decimalEnclosedParen"/>
      <w:lvlText w:val="%1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7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302E1F4D"/>
    <w:multiLevelType w:val="hybridMultilevel"/>
    <w:tmpl w:val="B8DEC120"/>
    <w:lvl w:ilvl="0" w:tplc="EC507338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73785642">
      <w:start w:val="2"/>
      <w:numFmt w:val="decimalEnclosedParen"/>
      <w:lvlText w:val="%2"/>
      <w:lvlJc w:val="left"/>
      <w:pPr>
        <w:ind w:left="14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1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4" w15:restartNumberingAfterBreak="0">
    <w:nsid w:val="3E242C03"/>
    <w:multiLevelType w:val="hybridMultilevel"/>
    <w:tmpl w:val="B7E8F0D2"/>
    <w:lvl w:ilvl="0" w:tplc="9DBA859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15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8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9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0" w15:restartNumberingAfterBreak="0">
    <w:nsid w:val="5C5625B5"/>
    <w:multiLevelType w:val="hybridMultilevel"/>
    <w:tmpl w:val="2DF20880"/>
    <w:lvl w:ilvl="0" w:tplc="0AF6C244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21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2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4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5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6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9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0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1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7"/>
  </w:num>
  <w:num w:numId="2" w16cid:durableId="1423919533">
    <w:abstractNumId w:val="16"/>
  </w:num>
  <w:num w:numId="3" w16cid:durableId="1055203190">
    <w:abstractNumId w:val="19"/>
  </w:num>
  <w:num w:numId="4" w16cid:durableId="1117873332">
    <w:abstractNumId w:val="29"/>
  </w:num>
  <w:num w:numId="5" w16cid:durableId="1048144779">
    <w:abstractNumId w:val="21"/>
  </w:num>
  <w:num w:numId="6" w16cid:durableId="1134443120">
    <w:abstractNumId w:val="4"/>
  </w:num>
  <w:num w:numId="7" w16cid:durableId="778062459">
    <w:abstractNumId w:val="1"/>
  </w:num>
  <w:num w:numId="8" w16cid:durableId="1139299507">
    <w:abstractNumId w:val="9"/>
  </w:num>
  <w:num w:numId="9" w16cid:durableId="457140820">
    <w:abstractNumId w:val="5"/>
  </w:num>
  <w:num w:numId="10" w16cid:durableId="1378620964">
    <w:abstractNumId w:val="23"/>
  </w:num>
  <w:num w:numId="11" w16cid:durableId="2095128551">
    <w:abstractNumId w:val="25"/>
  </w:num>
  <w:num w:numId="12" w16cid:durableId="1256748628">
    <w:abstractNumId w:val="30"/>
  </w:num>
  <w:num w:numId="13" w16cid:durableId="1112047353">
    <w:abstractNumId w:val="11"/>
  </w:num>
  <w:num w:numId="14" w16cid:durableId="287246193">
    <w:abstractNumId w:val="12"/>
  </w:num>
  <w:num w:numId="15" w16cid:durableId="2002848057">
    <w:abstractNumId w:val="0"/>
  </w:num>
  <w:num w:numId="16" w16cid:durableId="326330220">
    <w:abstractNumId w:val="18"/>
  </w:num>
  <w:num w:numId="17" w16cid:durableId="8025470">
    <w:abstractNumId w:val="15"/>
  </w:num>
  <w:num w:numId="18" w16cid:durableId="1988779936">
    <w:abstractNumId w:val="32"/>
  </w:num>
  <w:num w:numId="19" w16cid:durableId="952370373">
    <w:abstractNumId w:val="24"/>
  </w:num>
  <w:num w:numId="20" w16cid:durableId="1050808147">
    <w:abstractNumId w:val="13"/>
  </w:num>
  <w:num w:numId="21" w16cid:durableId="1685084502">
    <w:abstractNumId w:val="22"/>
  </w:num>
  <w:num w:numId="22" w16cid:durableId="1903637470">
    <w:abstractNumId w:val="7"/>
  </w:num>
  <w:num w:numId="23" w16cid:durableId="523402955">
    <w:abstractNumId w:val="31"/>
  </w:num>
  <w:num w:numId="24" w16cid:durableId="1735855966">
    <w:abstractNumId w:val="26"/>
  </w:num>
  <w:num w:numId="25" w16cid:durableId="1451707276">
    <w:abstractNumId w:val="3"/>
  </w:num>
  <w:num w:numId="26" w16cid:durableId="296572070">
    <w:abstractNumId w:val="28"/>
  </w:num>
  <w:num w:numId="27" w16cid:durableId="967128345">
    <w:abstractNumId w:val="8"/>
  </w:num>
  <w:num w:numId="28" w16cid:durableId="328559858">
    <w:abstractNumId w:val="6"/>
  </w:num>
  <w:num w:numId="29" w16cid:durableId="420372355">
    <w:abstractNumId w:val="17"/>
  </w:num>
  <w:num w:numId="30" w16cid:durableId="1342470028">
    <w:abstractNumId w:val="20"/>
  </w:num>
  <w:num w:numId="31" w16cid:durableId="1055155131">
    <w:abstractNumId w:val="14"/>
  </w:num>
  <w:num w:numId="32" w16cid:durableId="814179791">
    <w:abstractNumId w:val="10"/>
  </w:num>
  <w:num w:numId="33" w16cid:durableId="50275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3E70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E02B2"/>
    <w:rsid w:val="000E213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1935"/>
    <w:rsid w:val="001C4339"/>
    <w:rsid w:val="001C54B6"/>
    <w:rsid w:val="001C6257"/>
    <w:rsid w:val="001C67F0"/>
    <w:rsid w:val="001D2D11"/>
    <w:rsid w:val="001D52A6"/>
    <w:rsid w:val="001E20DF"/>
    <w:rsid w:val="001E27A9"/>
    <w:rsid w:val="001E4106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1CDD"/>
    <w:rsid w:val="00813732"/>
    <w:rsid w:val="00817140"/>
    <w:rsid w:val="008175CB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2838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5CCB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E389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8536E"/>
    <w:rsid w:val="00D9407D"/>
    <w:rsid w:val="00D9776B"/>
    <w:rsid w:val="00DA1B36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95432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A2CFE"/>
    <w:rsid w:val="00FA360B"/>
    <w:rsid w:val="00FA4041"/>
    <w:rsid w:val="00FB38BD"/>
    <w:rsid w:val="00FB5C1E"/>
    <w:rsid w:val="00FC07D6"/>
    <w:rsid w:val="00FC610C"/>
    <w:rsid w:val="00FD3E16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l.expo.taipe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ed.gov.taipei/Content_List.aspx?n=37DC070BEE4F92C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4</cp:revision>
  <cp:lastPrinted>2023-01-19T07:13:00Z</cp:lastPrinted>
  <dcterms:created xsi:type="dcterms:W3CDTF">2023-01-19T07:03:00Z</dcterms:created>
  <dcterms:modified xsi:type="dcterms:W3CDTF">2023-01-19T07:14:00Z</dcterms:modified>
</cp:coreProperties>
</file>